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6E1A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2016 року </w:t>
      </w: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Київ, вул. Маршала Конєва, буд. 8, каб. 71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0442060141 0442060105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book@liko-holding.com.ua</w:t>
            </w:r>
          </w:p>
        </w:tc>
      </w:tr>
    </w:tbl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4555"/>
        <w:gridCol w:w="1456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25.07.2016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http://liko-holding.com.ua/uk/page/1/zagalna-informatsija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B6E1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p w:rsidR="00000000" w:rsidRDefault="00DB6E1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інформація про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</w:t>
            </w:r>
            <w:r>
              <w:rPr>
                <w:rFonts w:eastAsia="Times New Roman"/>
                <w:color w:val="000000"/>
              </w:rPr>
              <w:t xml:space="preserve">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</w:t>
            </w:r>
            <w:r>
              <w:rPr>
                <w:rFonts w:eastAsia="Times New Roman"/>
                <w:color w:val="000000"/>
              </w:rPr>
              <w:t>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Примітки:</w:t>
            </w:r>
            <w:r>
              <w:rPr>
                <w:rFonts w:eastAsia="Times New Roman"/>
                <w:color w:val="000000"/>
              </w:rPr>
              <w:br/>
              <w:t>Iнформацiя про конвертацiю цiнних паперiв вiдсутня, оскiльки конвертацiя цiнних паперiв не</w:t>
            </w:r>
            <w:r>
              <w:rPr>
                <w:rFonts w:eastAsia="Times New Roman"/>
                <w:color w:val="000000"/>
              </w:rPr>
              <w:t xml:space="preserve"> мала мiсця. Iнформацiя про замiну управителя; iнформацiя про керуючого, iнформацiя про трансформацiю (перетворення) iпотечних активiв; iнформацiя про змiни в реєстрi забезпечення iпотечних сертифiкатiв за кожним консолiдованим iпотечним боргом; Iнформацiя</w:t>
            </w:r>
            <w:r>
              <w:rPr>
                <w:rFonts w:eastAsia="Times New Roman"/>
                <w:color w:val="000000"/>
              </w:rPr>
              <w:t xml:space="preserve"> про iпотечне покриття: а) iнформацiя про замiну iпотечних активiв у складi iпотечного покриття б) iнформацiя про розмiр iпотечного покриття та його спiввiдношення з розмiром (сумою) зобов'язань за iпотечними облiгацiями з цим iпотечним покриттям в) iнформ</w:t>
            </w:r>
            <w:r>
              <w:rPr>
                <w:rFonts w:eastAsia="Times New Roman"/>
                <w:color w:val="000000"/>
              </w:rPr>
              <w:t>ацiя про спiввiдношення розмiру iпотечного покриття з розмiром (сумою) зобов'язань за iпотечними облiгацiями з цим iпотечним покриттям на кожну дату пiсля замiн iпотечних активiв у складi iпотечного покриття, якi вiдбулись протягом звiтного перiоду г) iнфо</w:t>
            </w:r>
            <w:r>
              <w:rPr>
                <w:rFonts w:eastAsia="Times New Roman"/>
                <w:color w:val="000000"/>
              </w:rPr>
              <w:t>рмацiя про замiни iпотечних активiв у складi iпотечного покриття або включення нових iпотечних активiв до складу iпотечного покриття; Iнформацiя про замiну фiнансової установи, яка здiйснює обслуговування iпотечних активiв; Аудиторський висновок на предмет</w:t>
            </w:r>
            <w:r>
              <w:rPr>
                <w:rFonts w:eastAsia="Times New Roman"/>
                <w:color w:val="000000"/>
              </w:rPr>
              <w:t xml:space="preserve"> виявлення вiдповiдностi стану iпотечного покриття даним реєстру iпотечного покриття та вимогам Закону України "Про iпотечнi облiгацiї" - iнформацiя вiдсутня, оскiльки емiтент випускає лише облiгацiї та опцiоннi сертифiкати. Фiнансова звiтнiсть, складена в</w:t>
            </w:r>
            <w:r>
              <w:rPr>
                <w:rFonts w:eastAsia="Times New Roman"/>
                <w:color w:val="000000"/>
              </w:rPr>
              <w:t>iдповiдно до Мiждународних стандартiв бухгалтерського облiку вiдсутня. Вiдомостi про цiннi папери емiтента: - iнформацiя про випуски акцiй емiтента; - iнформацiя про iншi цiннi папери, випущенi емiтентом - iнформацiя вiдсутня, оскiльки емiтент випускає лиш</w:t>
            </w:r>
            <w:r>
              <w:rPr>
                <w:rFonts w:eastAsia="Times New Roman"/>
                <w:color w:val="000000"/>
              </w:rPr>
              <w:t>е облiгацiї та опцiоннi сертифiкати; Iнформацiя щодо посади корпоративного секретаря вiдсутня, так як органiзацiйно-правова форма емiтента Товариство з обмеженою вiдповiдальнiстю. Iнформацiя про обсяги виробництва та реалiзацiї основних видiв продукцiї вiд</w:t>
            </w:r>
            <w:r>
              <w:rPr>
                <w:rFonts w:eastAsia="Times New Roman"/>
                <w:color w:val="000000"/>
              </w:rPr>
              <w:t xml:space="preserve">сутня та Iнформацiя про собiвартiсть реалiзованої продукцiї вiдсутня, оскiльки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</w:t>
            </w:r>
            <w:r>
              <w:rPr>
                <w:rFonts w:eastAsia="Times New Roman"/>
                <w:color w:val="000000"/>
              </w:rPr>
              <w:t>видiв економiчної дiяльностi. Фiнансова звiтнiсть емiтента, складена зi мiжнародними стандартами фiнансової звiтностi вiдсутня, оскiльки емiтент - ТОВ и звiтує за нацiональними положеннями (стандартами) бухгалтерського облiку.</w:t>
            </w:r>
          </w:p>
        </w:tc>
      </w:tr>
    </w:tbl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639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АОО №051220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26.01.1995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</w:t>
            </w:r>
            <w:r>
              <w:rPr>
                <w:rFonts w:eastAsia="Times New Roman"/>
                <w:color w:val="000000"/>
              </w:rPr>
              <w:t>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41.20 Будiвництво житлових i нежитлових будiвель, 46.90 Неспецiалiзована оптова торгiвля, 71.12 Надання в оренду й експлуатацiю власного чи орендованого нерухомого майн</w:t>
            </w: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Вищим органом Товариства є загальнi збори Учасникiв, в яких беруть участь Учасники, або призначенi ними представники. Представники учасникiв призначаються останнiми на один рiк.Учасники мають кiлькiсть голосiв, про</w:t>
            </w:r>
            <w:r>
              <w:rPr>
                <w:rFonts w:eastAsia="Times New Roman"/>
                <w:color w:val="000000"/>
              </w:rPr>
              <w:t>порцiйну розмiру їх часток у Статутному капiталi. Загальна кiлькiсть голосiв - 1000. Для ведення загальних зборiв Учасникiв Товариства обирається Голова зборiв та секретар. Голова Товариства є Головою загальних зборiв. Генеральний директор не може одночасн</w:t>
            </w:r>
            <w:r>
              <w:rPr>
                <w:rFonts w:eastAsia="Times New Roman"/>
                <w:color w:val="000000"/>
              </w:rPr>
              <w:t>о бути Головою загальних зборiв Учасникiв Товариства.Загальнi збори Учасникiв Товариства скликаються Головою Товариства два рази на рiк. Учасник може передати свої повноваження призначеному ним представнику. Компетенцiя загальних зборiв Учасникiв Товариств</w:t>
            </w:r>
            <w:r>
              <w:rPr>
                <w:rFonts w:eastAsia="Times New Roman"/>
                <w:color w:val="000000"/>
              </w:rPr>
              <w:t>а: 1.Визначення основних напрямiв дiяльностi Товариства i затвердження його планiв та звiтiв про їх виконання. 2.Внесення змiн до Статуту Товариства; 3.Встановлення розмiру, форми i порядку внесення Учасниками додаткових вкладiв. 4.Вирiшення питання про пр</w:t>
            </w:r>
            <w:r>
              <w:rPr>
                <w:rFonts w:eastAsia="Times New Roman"/>
                <w:color w:val="000000"/>
              </w:rPr>
              <w:t>идбання Товариством частки Учасника. 5.Обрання та вiдкликання членiв Ревiзiйної комiсiї. 6.Затвердження порядку утворення та використання фондiв Товариства. 7.Затвердження рiчних та квартальних звiтiв по результатам дiяльностi Товариства, включаючи його до</w:t>
            </w:r>
            <w:r>
              <w:rPr>
                <w:rFonts w:eastAsia="Times New Roman"/>
                <w:color w:val="000000"/>
              </w:rPr>
              <w:t>чiрнi пiдприємства, затвердження звiтiв i висновкiв Ревiзiйної комiсiї, порядку розподiлу прибутку, строку та порядку виплати частки прибутку (дивiдендiв), визначення порядку покриття збиткiв. 8. Обрання та вiдкликання Голови зборiв Учасникiв,Президента То</w:t>
            </w:r>
            <w:r>
              <w:rPr>
                <w:rFonts w:eastAsia="Times New Roman"/>
                <w:color w:val="000000"/>
              </w:rPr>
              <w:t>вариства, Генерального директора та iнших членiв Дирекцiї Товариства, членiв Ревiзiйної комiсiї, призначення тимчасово виконуючих обов,язки перерахованих посадових осiб до їх обрання на вказанi посади в порядку, передбаченому цим Статутом. 9. Створення, ре</w:t>
            </w:r>
            <w:r>
              <w:rPr>
                <w:rFonts w:eastAsia="Times New Roman"/>
                <w:color w:val="000000"/>
              </w:rPr>
              <w:t>органiзацiя та лiквiдацiя дочiрнiх пiдприємств, фiлiй та представництв, затвердження їх статутiв та положень. 10.Винесення рiшень про притягнення до майнової вiдповiдальностi посадових осiб Товариства. 11.Визначення умов оплати працi посадових осiб Товарис</w:t>
            </w:r>
            <w:r>
              <w:rPr>
                <w:rFonts w:eastAsia="Times New Roman"/>
                <w:color w:val="000000"/>
              </w:rPr>
              <w:t>тва, його дочiрнiх пiдприємств,фiлiй та представництв. 12.Прийняття до Товариства та виключення з нього Учасника . 13.Затвердження правил процедури та iнших внутрiшнiх документiв Товариства, визначення органiзацiйної структури Товариства, затвердження Поло</w:t>
            </w:r>
            <w:r>
              <w:rPr>
                <w:rFonts w:eastAsia="Times New Roman"/>
                <w:color w:val="000000"/>
              </w:rPr>
              <w:t>жень про фонди, що створюються в Товариствi. 14.Затвердження договорiв (угод), укладених на суму, що перевищує 10(десять) мiльйонiв гривень. 15.Прийняття рiшення про припинення дiяльностi Товариства, призначення лiквiдацiйної комiсiї, затвердження лiквiдац</w:t>
            </w:r>
            <w:r>
              <w:rPr>
                <w:rFonts w:eastAsia="Times New Roman"/>
                <w:color w:val="000000"/>
              </w:rPr>
              <w:t>iйного балансу. Загальнi збори Учасникiв вважаються повноважними, якщо на них присутнi Учасники (представники Учасникiв), що володiють у сукупностi бiльш як 60% голосiв. Брати участь у загальних зборах Учасникiв з правом дорадчого голосу можуть члени викон</w:t>
            </w:r>
            <w:r>
              <w:rPr>
                <w:rFonts w:eastAsia="Times New Roman"/>
                <w:color w:val="000000"/>
              </w:rPr>
              <w:t>авчих органiв, якi не є Учасниками Товариства. З питань визначення основних напрямкiв дiяльностi Товариства, затвердження його планiв та звiтiв про їх виконання, внесення змiн до Статуту, а також при вирiшеннi питання про прийняття та виключення Учасника з</w:t>
            </w:r>
            <w:r>
              <w:rPr>
                <w:rFonts w:eastAsia="Times New Roman"/>
                <w:color w:val="000000"/>
              </w:rPr>
              <w:t xml:space="preserve"> Товариства рiшення вважається прийнятим, якщо за нього проголосують учасники, що володiють у сукупностi бiльш як 50 вiдсотками загальної кiлькостi голосiв Учасникiв Товариства, решту - простою бiльшiстю. Виконавчим органом Товариства є Дирекцiя. Кiлькiсть</w:t>
            </w:r>
            <w:r>
              <w:rPr>
                <w:rFonts w:eastAsia="Times New Roman"/>
                <w:color w:val="000000"/>
              </w:rPr>
              <w:t xml:space="preserve"> членiв Дирекцiї визначається Зборами учасникiв Товариства. Дирекцiю очолює Генеральний директор. Члени Дирекцiї Товариства є заступниками Генерального директора. З числа членiв Дирекцiї загальними зборами учасникiв Товариства обирається Перший заступник Г</w:t>
            </w:r>
            <w:r>
              <w:rPr>
                <w:rFonts w:eastAsia="Times New Roman"/>
                <w:color w:val="000000"/>
              </w:rPr>
              <w:t>енерального директора, який у разi необхiдностi виконує повноваження Генерального директора, передбаченi цим Статутом та додатково - визначенi Рiшеннями загальних зборiв учасникiв Товариства та Генеральним Директором. У випадку вiдсутностi Генерального дир</w:t>
            </w:r>
            <w:r>
              <w:rPr>
                <w:rFonts w:eastAsia="Times New Roman"/>
                <w:color w:val="000000"/>
              </w:rPr>
              <w:t>ектора та Першого заступника Генерального директора їх обов'язки тимчасово виконують члени Дирекцiї Товариства, визначенi загальними зборами Учасникiв. У разi необхiдностi члени дирекцiї рiшенням загальних зборiв Учасникiв призначаються директорами по вiдп</w:t>
            </w:r>
            <w:r>
              <w:rPr>
                <w:rFonts w:eastAsia="Times New Roman"/>
                <w:color w:val="000000"/>
              </w:rPr>
              <w:t>овiдних сферах дiяльностi Товариства. Генеральний директор здiйснює керiвництво поточної дiяльнiстю Товариства в межах компетенцiї i прав, що визначенi цим Статутом та рiшеннями загальних зборiв Учасникiв Товариства. Контроль за фiнансовою та господарською</w:t>
            </w:r>
            <w:r>
              <w:rPr>
                <w:rFonts w:eastAsia="Times New Roman"/>
                <w:color w:val="000000"/>
              </w:rPr>
              <w:t xml:space="preserve"> дiяльнiстю Дирекцiї Товариства здiйснюється Ревiзiйною комiсiєю. За рiшенням загальних зборiв Учасникiв ревiзiя може проводитись Ревiзiйною комiсiєю за участю незалежної аудиторської фiрми. Ревiзiйна комiсiя обирається iз числа Учасникiв Товариства (їх пр</w:t>
            </w:r>
            <w:r>
              <w:rPr>
                <w:rFonts w:eastAsia="Times New Roman"/>
                <w:color w:val="000000"/>
              </w:rPr>
              <w:t>едставникiв) на загальних зборах Учасникiв. Ревiзiйна комiсiя створюється у кiлькостi не менше нiж трьох осiб. Порядок дiяльностi Ревiзiйної комiсiї затверджується загальними зборами Учасникiв Товариства. Генеральний директор та iншi члени Дирекцiї Товарис</w:t>
            </w:r>
            <w:r>
              <w:rPr>
                <w:rFonts w:eastAsia="Times New Roman"/>
                <w:color w:val="000000"/>
              </w:rPr>
              <w:t>тва не можуть бути членами Ревiзiйної комiсiї. Ревiзiйна комiсiя вправi вимагати вiд посадових осiб Товариства надання їй усiх необхiдних матерiалiв, бухгалтерських та iнших документiв, а також особистих пояснень.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7"/>
              <w:gridCol w:w="2678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ПАТ "КРЕДI АГРIКОЛЬ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300614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26004500050792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DB6E1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1411"/>
        <w:gridCol w:w="1079"/>
        <w:gridCol w:w="2463"/>
        <w:gridCol w:w="191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ліцензії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господарська дiяльнiсть, пов’язана iз створенням об’єктiв архiтектуритектури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АЕ № 640622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архiтектурно-будiвельна iнспекцiєя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08.06.2020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Пiсля закiнчення термiну дiю лiцензiї буде продовжено.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IV. Відомості щодо участі емітента у створенні юридичних осіб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93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"Лiко-житлосервiс"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30303467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Ломоносова, 58-А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20%,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793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</w:t>
            </w:r>
            <w:r>
              <w:rPr>
                <w:rFonts w:eastAsia="Times New Roman"/>
                <w:color w:val="000000"/>
              </w:rPr>
              <w:t>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"Магазин №478"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19263475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116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80%, внесок сформований за рахунок грошових коштiв. Управлiння Товариством ТОВ "ТМО "ЛIКО-ХОЛДIНГ" здiйснює згiдно з Статутом через Загальнi збори учасникiв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"Об'єднана автозаправна компанiя"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33294948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Костичева, 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50%,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ТОВ"Лiко-Бьютi"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32822632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90-92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20%,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</w:t>
            </w:r>
            <w:r>
              <w:rPr>
                <w:rFonts w:eastAsia="Times New Roman"/>
                <w:color w:val="000000"/>
              </w:rPr>
              <w:t>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"Омрi"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31512722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Червоноармiйська, 88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75%,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</w:t>
            </w:r>
            <w:r>
              <w:rPr>
                <w:rFonts w:eastAsia="Times New Roman"/>
                <w:color w:val="000000"/>
              </w:rPr>
              <w:t>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"Фiрма Кроки"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19035640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90-92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49%,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"Лiко-Вет"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31811504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Червоноармiйська, 88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50%,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93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</w:t>
            </w:r>
            <w:r>
              <w:rPr>
                <w:rFonts w:eastAsia="Times New Roman"/>
                <w:color w:val="000000"/>
              </w:rPr>
              <w:t>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"Лiко-гранiт"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35824668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Житомирська обл., Коростенський район, с. Березiвка, вул. Радянська, б. 44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100%,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93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</w:t>
            </w:r>
            <w:r>
              <w:rPr>
                <w:rFonts w:eastAsia="Times New Roman"/>
                <w:color w:val="000000"/>
              </w:rPr>
              <w:t>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"ДНЗ РIРД "Лiко-Свiт"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37249087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м. Київ, вул. Ак. Вiльямса, 11, корп.2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70%,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93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"Спецiалiзований загальноосвiтнiй навчальний заклад I ступеня "ЛIКО-ШКОЛА"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39144047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м. Київ, вул. Маршала Конєва, 12 "А"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99.9%, внесок сформований за рахунок грошових коштiв. Управлiння Товариством ТОВ "ТМО "ЛIКО-ХОЛДIНГ" здiйснює згiд</w:t>
            </w:r>
            <w:r>
              <w:rPr>
                <w:rFonts w:eastAsia="Times New Roman"/>
                <w:color w:val="000000"/>
              </w:rPr>
              <w:t>но з Статутом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793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"Дошкiльний навчальний заклад "Лiко-Свiт Венецiя"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40001848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Маршала Конєва, 12 "А"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99,9%, внесок сформований за рахунок грошових коштiв. Управлiння Товариством ТОВ "ТМО "ЛIКО-ХОЛДIНГ" здiйснює згiдно з Ст</w:t>
            </w:r>
            <w:r>
              <w:rPr>
                <w:rFonts w:eastAsia="Times New Roman"/>
                <w:color w:val="000000"/>
              </w:rPr>
              <w:t>атутом через Загальнi збори учасникiв.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794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"Теплопостачсервiс"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35138553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Ломоносова, 60 "А", офiс 141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99,9%,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VI. Інформ</w:t>
      </w:r>
      <w:r>
        <w:rPr>
          <w:rFonts w:eastAsia="Times New Roman"/>
          <w:color w:val="000000"/>
        </w:rPr>
        <w:t>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7061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ТТ 143140 28.12.2012 Голосiївським РУ ГУ МВС України в м.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 11.11.2009 по 01.04.2011 рр. займав посаду заступника Генерального директора з фiнансових питань на пiдприємствi ТОВ "ТМО "ЛIКО-ХОЛДIНГ". 01.04.2011 Олiйник Володимир Михайлович був при</w:t>
            </w:r>
            <w:r>
              <w:rPr>
                <w:rFonts w:eastAsia="Times New Roman"/>
                <w:color w:val="000000"/>
              </w:rPr>
              <w:t>йнятий на посаду Директора з Фiнансових питань на пiдприємствi ТОВ "ТМО "ЛIКО-ХОЛДIНГ". З 19.05.2014 року по теперiшнiй час - Генеральний директор ТОВ "ТМО "ЛIКО-ХОЛДIНГ".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Генерального директора з нерухомостi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Посвiстак Марiя Григорiвна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</w:t>
            </w:r>
            <w:r>
              <w:rPr>
                <w:rFonts w:eastAsia="Times New Roman"/>
                <w:color w:val="000000"/>
              </w:rPr>
              <w:t>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СН 342627 17.12.1996 Московським РУ ГУ МВС України в мiстi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Генерального директора ТОВ "ТМО "ЛIКО-ХОЛДIНГ" з 15.11.1993 року по 18.12.2013 р. Перший заступник Генерального директора з нерухомостi з 18.12.2013 р. по теперiшнiй час.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</w:t>
            </w:r>
            <w:r>
              <w:rPr>
                <w:rFonts w:eastAsia="Times New Roman"/>
                <w:color w:val="000000"/>
              </w:rPr>
              <w:t>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820843 26.02.2000 Старокостянтинiвським РВУМВС України в Хмельницький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перiод з 2001 по 2007 рiк - Заступник Головного бухгалтера ТОВ "ТМО "ЛIКО-ХОЛДIНГ". З 01.11.2007 року призначена на посаду виконуючого обов"язки головного бухгалтера. Цього ж року переведена на посаду Головного бухгалтера.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</w:t>
            </w:r>
            <w:r>
              <w:rPr>
                <w:rFonts w:eastAsia="Times New Roman"/>
                <w:color w:val="000000"/>
              </w:rPr>
              <w:t>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Генерального директора з питань будiвництва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Яблонський Валентин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745804 26.06.1999 Хмельницьким МУ УМВС України в Хмельницькiй обл.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ТОВ "Будiвельна компанiя "Лiко-Буд" - з 26.11.2010 р. по 18.12.2013 р.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Перший заступник Генерального директора - Директор з iнвестицiй, продажу нерухомостi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Ломакiна Лариса Володимирiвна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</w:t>
            </w:r>
            <w:r>
              <w:rPr>
                <w:rFonts w:eastAsia="Times New Roman"/>
                <w:color w:val="000000"/>
              </w:rPr>
              <w:t>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 358814 23.12.2003 ТУМ-2 Шевченкiвського РУ ГУ МВС України в мiстi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Повна назва теперiшньої посади - Перший заступник Генерального директора - Директор з iнвестицiй, продажу нерухомостi та соцiально-культурного розвитку. В полi "Посада" назва посади вказана непо</w:t>
            </w:r>
            <w:r>
              <w:rPr>
                <w:rFonts w:eastAsia="Times New Roman"/>
                <w:color w:val="000000"/>
              </w:rPr>
              <w:t>вно, оскiльки зазначене поле не передбачає назву посади з великою кiлькiстю символiв. З 01.08.2004 року працювала в ТОВ "ТМО "ЛIКО-ХОЛДIНГ" Директором департаменту iнвестицiй i продажу. З 01.07.2014 р. обрана на посаду Першого заступника Генерального дирек</w:t>
            </w:r>
            <w:r>
              <w:rPr>
                <w:rFonts w:eastAsia="Times New Roman"/>
                <w:color w:val="000000"/>
              </w:rPr>
              <w:t>тора - Директора з iнвестицiй, продажу нерухомостi та соцiально-культурного розвитку.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</w:tbl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695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"Iнвестицiйна компанiя "А.I.С.Т.-IНВЕСТ"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22925951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Червоноармiйська, буд. 57/3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520260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28.01.2010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0442060141 0442060142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Професiйна дiяльнiсть на фондовому ринку- дiяльнiсть з торгiвлi цiнними паперами. Андеррайтинг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 "Iнвестицiйна компанiя "А.I.С.Т.-IНВЕСТ" виступає андеррайтером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деяких випускiв цiнних паперiв Товариства. Також емiтент користується послугами ТОВ "IК "А.I.С.Т.-IНВЕСТ"</w:t>
            </w:r>
            <w:r>
              <w:rPr>
                <w:rFonts w:eastAsia="Times New Roman"/>
                <w:color w:val="000000"/>
              </w:rPr>
              <w:br/>
              <w:t>як професiйного учасника фондового ринку - торговця цiнними паперами.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</w:t>
            </w:r>
            <w:r>
              <w:rPr>
                <w:rFonts w:eastAsia="Times New Roman"/>
                <w:color w:val="000000"/>
              </w:rPr>
              <w:t>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30370111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04071, м.Київ, вул. Нижнiй Вал, будинок 17/8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(044)377-72-65 (044) 279-12-49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"НДУ" </w:t>
            </w:r>
            <w:r>
              <w:rPr>
                <w:rFonts w:eastAsia="Times New Roman"/>
                <w:color w:val="000000"/>
              </w:rPr>
              <w:t>надає послуги з ведення емiсiйного рахунку Емiтента ТОВ "ТМО "ЛIКО-ХОЛДIНГ".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"КАСТОДI-БРОК"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37813470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Червоноармiйська. буд. 57/3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АГ 580004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11.11.2011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206 01 42 (044) 206 01 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зберiгача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"КАСТОДI-БРОК" обслуговує рахунок емiтента у цiнних паперах.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«Аудиторська фiрма «Iмона-Аудит»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23500277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Бажана, 26, офiс 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 000341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0445659995 0445659995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дiяльнiсть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«Аудиторська фiрма «Iмона-Аудит» надає послуги з питань аудиторської перевiрки фiнансової звiтностi ТОВ "ТМО "ЛIКО-ХОЛДIНГ"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облігації емітента 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254"/>
        <w:gridCol w:w="1649"/>
        <w:gridCol w:w="1276"/>
        <w:gridCol w:w="1143"/>
        <w:gridCol w:w="1003"/>
        <w:gridCol w:w="1481"/>
        <w:gridCol w:w="1290"/>
        <w:gridCol w:w="1131"/>
        <w:gridCol w:w="1054"/>
        <w:gridCol w:w="1611"/>
        <w:gridCol w:w="106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60/2/06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11.04.2008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об'єктами культурно-побутового та соцiал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ьного призначення у Голосiївському районi м. Києва. Кошти залучаються для будiвництва житлових будинкiв, офiсних примiщень та машиномiсць.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J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61/2/06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11.01.2007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об'єктами культурно-побутового та соцiал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ьного призначення у Голосiївському районi м. Києва. Кошти залучаються для будiвництва житлових будинкiв, офiсних примiщень та машиномiсць.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K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62/2/06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11.01.2008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об'єктами культурно-побутового та соцiа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льного призначення у Голосiївському районi м. Києва. Кошти залучаються для будiвництва житлових будинкiв, офiсних примiщень та машиномiсць.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L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388/2/07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колом обiгу. Облiгацiї розмiщуються з дисконтом. Цiна первинного розмiщення не може бути меншою за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Емiтент не планує реалiзовувати облiгацiї на бiржах та в позабiржових торговельно-iнформацiйних системах. На позабiржовому ринку ва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фiнансування будiвництва чотирьохзiркового готелю орiєнтовною площею 20 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00 кв.м., нежитлових примiщень та машиномiсць на земельнiй дiлянцi, обмеженiй вулицями Ломоносова, Василя Касiяна, Маршала Конєва, та Костичева у Голосiївському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колом обiгу. Облiгацiї розмiщуються з дисконтом. Цiна первинного розмiщення не може бути меншою за 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Емiтент не планує реалiзовувати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облiгацiї на бiржах та в позабiржових торговельно-iнформацiйних системах.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ерiв будуть спрямованi на фiнансування будiвництва чотирьохзiркового готелю орiєнтовною площею 20 000 кв.м., нежитлових примiщень та машиномiсць на земельнiй дiлянцi, обмеженiй вулицями Ломоносова, Василя Касiяна, Маршала Конєва, та Костичева у Голосiївськ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390/2/07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Закрите (приватне) розмiщення звичайних, iменних, дисконтних облiгацiй, з обмеженим колом обiгу. Облiгацiї розмiщуються з дисконтом. Цiна первинного розмiщення не може бути меншою за 8900,00 грн. та не може бути вищою за номiнальну вартiсть облiгацiї. Цiна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Емiтент не планує реалiзовувати облiгацiї на бiржах та в позабiржових торговельно-iнформацiйних системах. На позабiржовому ринку вартiсть облiгацiй визначається в залежностi вiд попиту та пропозицiї, але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фiнансування будiвництва чотирьохзiркового готелю орiєнтовною площею 20 000 кв.м., нежитлових примiщень та машиномiсць на земельнiй дiлянцi, обмеж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енiй вулицями Ломоносова, Василя Касiяна, Маршала Конєва, та Костичева у Голосiївському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Q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391/2/07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20.07.2011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колом обiгу. Облiгацiї розмiщуються з дисконтом. Цiна первинного розмiщення не може бути меншою за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Емiтент не планує реалiзовувати облiгацiї на бiржах та в позабiржових торговельно-iнформацiйних системах. На позабiржовому ринку ва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фiнансування будiвництва чотирьохзiркового готелю орiєнтовною площею 20 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00 кв.м., нежитлових примiщень та машиномiсць на земельнiй дiлянцi, обмеженiй вулицями Ломоносова, Василя Касiяна, Маршала Конєва, та Костичева у Голосiївському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R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392/2/07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колом обiгу. Облiгацiї розмiщуються з дисконтом. Цiна первинного розмiщення не може бути меншою за 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Емiтент не планує реалiзовувати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облiгацiї на бiржах та в позабiржових торговельно-iнформацiйних системах.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ерiв будуть спрямованi на фiнансування будiвництва чотирьохзiркового готелю орiєнтовною площею 20 000 кв.м., нежитлових примiщень та машиномiсць на земельнiй дiлянцi, обмеженiй вулицями Ломоносова, Василя Касiяна, Маршала Конєва, та Костичева у Голосiївськ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S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T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1001/2/07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169510000.00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ервинне розмiщення обл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Фiнансовi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U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1002/2/07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97290000.00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V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1003/2/07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01.07.2010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.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також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W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1004/2/07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01.07.2010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1005/2/07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Y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1006/2/07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Z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1007/2/07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AA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1008/2/07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AB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1009/2/07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221/2/08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190680000.00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01.02.2015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AD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52980000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222516000.00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224/2/08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AG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43129000.00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06.04.2014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AI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28297000.00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AK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30.06.2016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AL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230/2/08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AM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11908000.00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01.07.2015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AN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232/2/08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30.06.2016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AO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234/2/08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2484000.00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AQ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235/2/08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AR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236/2/08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AS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AU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240/2/08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01.04.2012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AW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242/2/08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Iнформацiї про внутрiшнi та зовн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облiгацiй вiдбувається за цiною не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також кварталiв, обмежених вулицями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AY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243/2/08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 іменні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7784000.00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01.04.2012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AZ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104000000.00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30.08.2015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Академiка Вiльямса 19/14.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Академiка Вiльямса 19/14.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нежитлових примiщень у будинку, розташованому за адресою: м. Київ, вул. Академiка Вiльямса 19/14.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ВС.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194/2/2013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Маршала Конєва 10/1.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ВD.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195/2/2013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Маршала Конєва 10/1.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нежитлових примiщень у будинку, розташованому за адресою: м. Київ, вул. Маршала Конєва 10/1.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ВF.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225/2/2014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10/1. Серiя ВG.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01.03.2017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10/1. Серiя ВH.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227/2/2014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12. Серiя ВI.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12-А. Серiя ВJ.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111/2/2015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30.10.2026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серiя BK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Закрите (приватне) розмiщення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iменних, дисконтних, забезпечених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Укладання договорiв з першими власниками облiгацiй вiдбувається за цiною нижче номiнальної вартостi з урахуванням дисконту у розмiрi 13 % та становить 87 000 грн. за облiгацiю.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Укладання договорiв з першими вла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сниками та оплата за цiннi папери здiйснюється вiдповiдно до договору купiвлi-продажу облiгацiй, укладеного Покупцем з Емiтентом при посередництвi Андеррайтера торговця цiнними паперами ТОВ „IК „А.I.С.Т.-IНВЕСТ”, в особi Директора Черно О.I. Запланована цi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 продажу кожної серiї облiгацiй першим власникам з урахуванням дисконту у розмiрi 13 % становить 87 000 грн. за одну облiгацiю.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Облiгацiї обертаються на ринку протягом усього термiну їх обiгу серед осiб, визначених цим проспектом емiсiї. Власниками облiг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ацiй можуть бути юридичнi особи, коло яких передбачено цим проспектом та законодавством України.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в розмiрi 609 000 000 (шiстсот дев’ять мiльйонiв грн. 00 коп.) гривень, залученi вiд розмiщення цiнних паперiв, будуть спрямованi на розбудо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ву iнфраструктури житлового масиву «Лiко-Град», а саме: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-Дошкiльний навчальний заклад – 197 000 000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-Школа старших класiв – 220 000 000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-Готель – 160 000 000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-Хостел – 17 000 000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-Ландшафтний парк – 15 000 000 грн.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112/2/2015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26.10.2026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серiя BL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Закрите (приватне) розмiщення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iменних, дисконтних, забезпечених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Укладання договорiв з першими власниками облiгацiй вiдбувається за цiною нижче номiнальної вартостi з урахуванням дисконту у розмiрi 13 % та становить 87 000 грн. за облiгацiю.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Укладання договорiв з першими вла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сниками та оплата за цiннi папери здiйснюється вiдповiдно до договору купiвлi-продажу облiгацiй, укладеного Покупцем з Емiтентом при посередництвi Андеррайтера торговця цiнними паперами ТОВ „IК „А.I.С.Т.-IНВЕСТ”, в особi Директора Черно О.I. Запланована цi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 продажу кожної серiї облiгацiй першим власникам з урахуванням дисконту у розмiрi 13 % становить 87 000 грн. за одну облiгацiю.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Облiгацiї обертаються на ринку протягом усього термiну їх обiгу серед осiб, визначених цим проспектом емiсiї. Власниками облiг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ацiй можуть бути юридичнi особи, коло яких передбачено цим проспектом та законодавством України.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в розмiрi 609 000 000 (шiстсот дев’ять мiльйонiв грн. 00 коп.) гривень, залученi вiд розмiщення цiнних паперiв, будуть спрямованi на розбудо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ву iнфраструктури житлового масиву «Лiко-Град», а саме: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-Дошкiльний навчальний заклад – 197 000 000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-Школа старших класiв – 220 000 000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-Готель – 160 000 000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-Хостел – 17 000 000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-Ландшафтний парк – 15 000 000 грн.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113/2/2015-T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30.10.2026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серiя BM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Закрите (приватне) розмiщення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iменних, дисконтних, забезпечених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Укладання договорiв з першими власниками облiгацiй вiдбувається за цiною нижче номiнальної вартостi з урахуванням дисконту у розмiрi 13 % та становить 87 000 грн. за облiгацiю.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Укладання договорiв з першими вла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сниками та оплата за цiннi папери здiйснюється вiдповiдно до договору купiвлi-продажу облiгацiй, укладеного Покупцем з Емiтентом при посередництвi Андеррайтера торговця цiнними паперами ТОВ „IК „А.I.С.Т.-IНВЕСТ”, в особi Директора Черно О.I. Запланована цi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 продажу кожної серiї облiгацiй першим власникам з урахуванням дисконту у розмiрi 13 % становить 87 000 грн. за одну облiгацiю.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Облiгацiї обертаються на ринку протягом усього термiну їх обiгу серед осiб, визначених цим проспектом емiсiї. Власниками облiг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ацiй можуть бути юридичнi особи, коло яких передбачено цим проспектом та законодавством України.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в розмiрi 609 000 000 (шiстсот дев’ять мiльйонiв грн. 00 коп.) гривень, залученi вiд розмiщення цiнних паперiв, будуть спрямованi на розбудо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ву iнфраструктури житлового масиву «Лiко-Град», а саме: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-Дошкiльний навчальний заклад – 197 000 000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-Школа старших класiв – 220 000 000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-Готель – 160 000 000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-Хостел – 17 000 000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-Ландшафтний парк – 15 000 000 грн.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114/2/2015-T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30.10.2026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серiя BN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Закрите (приватне) розмiщення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iменних, дисконтних, забезпечених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Укладання договорiв з першими власниками облiгацiй вiдбувається за цiною нижче номiнальної вартостi з урахуванням дисконту у розмiрi 13 % та становить 87 000 грн. за облiгацiю.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Укладання договорiв з першими вла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сниками та оплата за цiннi папери здiйснюється вiдповiдно до договору купiвлi-продажу облiгацiй, укладеного Покупцем з Емiтентом при посередництвi Андеррайтера торговця цiнними паперами ТОВ „IК „А.I.С.Т.-IНВЕСТ”, в особi Директора Черно О.I. Запланована цi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 продажу кожної серiї облiгацiй першим власникам з урахуванням дисконту у розмiрi 13 % становить 87 000 грн. за одну облiгацiю.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Облiгацiї обертаються на ринку протягом усього термiну їх обiгу серед осiб, визначених цим проспектом емiсiї. Власниками облiг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ацiй можуть бути юридичнi особи, коло яких передбачено цим проспектом та законодавством України.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в розмiрi 609 000 000 (шiстсот дев’ять мiльйонiв грн. 00 коп.) гривень, залученi вiд розмiщення цiнних паперiв, будуть спрямованi на розбудо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ву iнфраструктури житлового масиву «Лiко-Град», а саме: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-Дошкiльний навчальний заклад – 197 000 000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-Школа старших класiв – 220 000 000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-Готель – 160 000 000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-Хостел – 17 000 000 грн;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-Ландшафтний парк – 15 000 000 грн. 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 Інформація про похідні цінні папери емітента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256"/>
        <w:gridCol w:w="1274"/>
        <w:gridCol w:w="2070"/>
        <w:gridCol w:w="629"/>
        <w:gridCol w:w="1237"/>
        <w:gridCol w:w="1047"/>
        <w:gridCol w:w="1246"/>
        <w:gridCol w:w="1177"/>
        <w:gridCol w:w="917"/>
        <w:gridCol w:w="3031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свідоцтва про реєстрацію випуску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похідних цінніх паперів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Різновид похідних цінних паперів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Строк розміщення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Строк дії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Строк (термін) виконання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похідних цінних паперів у випуску (шт.)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випуску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Характеристика базового активу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ОСП-58/2.2010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25.01.11-31.12.17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Базовий актив опцiонного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сертифiкату : 0,01 квадратного метру загальної площi нежитлового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лосiївському районi м. Києва.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нежитлового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Голосiївськ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ому районi м. Києва.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H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ОСП-59/2.2010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продаж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25.01.11-31.12.17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паркiнгу в будинках проекту "Будiвництво житлових будинкiв з пiдземними паркiнгами та закладами по обслуговуванню населення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 вул. Вiльямса, 7 та вул. Ломоносова, 42-50 (3 мiкрорайон) у Голосiївському районi м. Києва.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"Будiвництво житлових будинкiв з пiдземними паркiнгами та закладами по обслуговуванн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ю населення по вул. Вiльямса, 7 та вул. Ломоносова, 42-50 (3 мiкрорайон) у Голосiївському районi м. Києва.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G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ОСП-57/2.2010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25.01.11-31.12.17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7064300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житлов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Голосiївському районi м. Києва.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"Будiвництво житл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ових будинкiв з пiдземними паркiнгами та закладами по обслуговуванню населення по вул. Вiльямса, 7 та вул. Ломоносова, 42-50 (3 мiкрорайон) у Голосiївському районi м. Києва.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F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ОСП-53/1.2009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10.03.10-01.03.13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сертифiкату : 0,01 кв. м. загальної площi паркiнгу у будинках, розташованих за будiвельними адресами : м. Київ, вул. Академiка Вiльямса,5; м. Київ, вул. Академiка Вiльямса,3/7; м. Київ, вул. Академiка Вiльямса,3 - 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паркiнгу у будинках, розташованих за будiвельними адресам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 : м. Київ, вул. Академiка Вiльямса,5; м. Київ, вул. Академiка Вiльямса,3/7; м. Київ, вул. Академiка Вiльямса,3 -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ОСП-52/1.2009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10.03.10-01.03.13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кв. м. загальної площi нежилого примiщення у будинках, розташованих за будiвельними адресами : м. Київ, вул. Академiка Вiльямса,5; м. Київ, вул. Академiка Вiльямса,3/7; м. Київ, вул. Академiка Вiльямса,3 - 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нежилого примiщення у будинках, розташов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аних за будiвельними адресами : м. Київ, вул. Академiка Вiльямса,5; м. Київ, вул. Академiка Вiльямса,3/7; м. Київ, вул. Академiка Вiльямса,3 -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D.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ОСП-51/1.2009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10.03.10-01.03.13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кв. м. загальної площi квартири у жилом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 будинку, розташованому за будiвельною адресою : м. Київ, вул. Академiка Вiльямса,3 - 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будинку, розташованому за будiвельною адресою : м. Київ, вул. Академiка Вiльямса,3 -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ОСП-50/1.2009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23.02.10-01.03.13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Базовий актив опцiонного сертифiкату : 0,01 кв. м. загальної площi квартири у жилому будинку, розташованому за будiвельною адресою : м. Київ, вул. Академiка Вiльямса,3/7.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будинку, розташованому за будiвельною ад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ресою : м. Київ, вул. Академiка Вiльямса,3/7.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В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ОСП-49/1.2009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кв. м. загальної площi квартири у жилому будинку, розташованому за будiвельною адресою : м. Київ, вул. Академiка Вiльямса,5.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будинку, розташованому за будiвель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ною адресою : м. Київ, вул. Академiка Вiльямса,5.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житлового примiщення в будинках проекту "Житловi будинки з об'єктами культурно-побутово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го, соцiального призначення на вулицях Академiка Костичева, Академiка Вiльямса, Маршала Конєва у Голосiївсткому районi м. Києва " (Житловий комплекс "Венецiя").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"Житловi будинки з об'єктами культурно-побутового, соцiального призначен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ня на вулицях Академiка Костичева, Академiка Вiльямса, Маршала Конєва у Голосiївсткому районi м. Києва " (Житловий комплекс "Венецiя").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I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ої площi нежитлового примiщення в будинках проекту "Житловi будинки з об'єктами культурно-побутового, соцiального призначення на вулицях Академiка Костичева, Академiка Вiльямса, Маршала Конєва у Голосiївсткому районi м. Києва " (Житловий комплекс "Венецiя"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нежитлового примiщення в будинках проекту "Житловi будинки з об'єктами культурно-побутового, соцiального призначення на вулицях Академiка Костичева, Академiка Вiльямса, Маршала Конєва у Голосiївсткому районi м. 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иєва " (Житловий комплекс "Венецiя").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J.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паркiнгу в будинках проекту "Житловi будинки з об'єктами культурно-побутового, соцiальн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ого призначення навулицях Академiка Костичева, Академiка Вiльямса, Маршала Конєва у Голосiївсткому районi м. Києва " (Житловий комплекс "Венецiя").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"Житловi будинки з об'єктами культурно-побутового, соцiального призначення навулицях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Академiка Костичева, Академiка Вiльямса, Маршала Конєва у Голосiївсткому районi м. Києва " (Житловий комплекс "Венецiя").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K.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ьної площi житлового примiщення в будинку за адресою вул. Ломоносова, 46/1 (2 буд.)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iївському районi м. Києва" (Житловий комплекс "ЛIКО-ГРАД").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примiщення в будинку за адресою вул. Ломоносова, 46/1 (2 буд.) проекту "Будiвництво житлових будинкiв з пiдземними паркiнгами та закладами по обслуговуванню населення по вул. Вiльямса, 7 та вул. Ломоносова, 42-50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(3 мiкрорайон) у Голосiївському районi м. Києва" (Житловий комплекс "ЛIКО-ГРАД").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L.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(цінних паперів)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агальної площi житлового примiщення у введеному в експлуатацiю будинку за адресою вул. Ломоносова 50/2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M.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продаж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ощi нежитлового примiщення у введеному в експлуатацiю будинку за адресою вул. Ломоносова 50/2.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N.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площi нежитлового примiщення в будинку, що будується за адресою вул. Ломоносова 46/1.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O.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лощi нежитлового примiщення у введеному в експлуатацiю будинку за адресою вул. Ломоносова 48-А.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P.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площi нежитлового примiщення у введеному в експлуатацiю будинку за адресою вул. Вiльямса 5.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Q.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площi нежитлового примiщення у введеному в експлуатацiю будинку за адресою вул. Вiльямса 3/7.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R.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площi нежитлового примiщення у введеному в експлуатацiю будинку за адресою вул. Вiльямса 3-А.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S.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лощi нежитлового примiщення у введеному в експлуатацiю будинку за адресою вул. Вiльямса 5-А.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T.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лощi нежитлового примiщення у введеному в експлуатацiю будинку за адресою вул. Симоненка 5.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U.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площi нежитлового примiщення у введеному в експлуатацiю будинку за адресою вул. Симоненка 5-А.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V.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площi нежитлового примiщення у введеному в експлуатацiю будинку за адресою вул. Мейтуса 4-А.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W.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лощi нежитлового примiщення у введеному в експлуатацiю будинку за адресою вул. Мейтуса 4.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X.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площi паркiнгу у введеному в експлуатацiю будинку за адресою вул. Ломоносова 50/2.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Y.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площi паркiнгу в будинку, що будується за адресою вул. Ломоносова 46/1.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 (термiну) виконання наводиться у цьому полi, так як у вiдповiдне поле вище данi неможливо внести через недолiки програми звiтностi. Срок (термiн) виконання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Серiя Z.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площi паркiнгу у введеному в експлуатацiю будинку за адресою вул. Вiльямса 5.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ладами по обслуговуванню населення по вул. Вiльямса, 7 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рез недолiки програми звiтностi. Срок (термiн) виконання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AA.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16/6/2015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05.11.2015-04.11.2016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iнформацiя наведена нижче в описi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:0,01 квадратного метру загальної площi паркiнгу у введеному в експлуатацiю будинку за адресою вул. Вiльямса 3/7.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об’єкту «Будiвництво житлових будинкiв з пiдземними паркiнгами та закладами по обслуговуванню населення по вул. Вiльямса,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вул. Ломоносова, 42-50 (3 мiкрорайон) у Голосiївському районi м. Києва».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стосовно сроку (термiну) виконання наводиться у цьому полi, так як у вiдповiдне поле вище данi неможливо внести через недолiки програми звiтностi. Срок (термiн) виконанн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ЦП - : з виконанням протягом строку обiгу, та не може перевищувати 6 мiсяцiв з дати пред’явлення.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AB.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емітента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642449.8994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641619.153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15.08.2008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2664.532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01.02.2015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320.729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AE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22.08.2012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58396.002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2930.634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30.06.2016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13518.076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31.08.2015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ВВ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21465.34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2374.32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01.05.2018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3146.52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139200.00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30.10.2026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BK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30.10.2026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BM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23403.00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30.10.202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830.7464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199.1634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01.09.2020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01.09.2020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217.4509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01.09.2020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Q)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AA)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AB)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01.09.2020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49.593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01.11.202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440179.1006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1084563.00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Емiтент не має Кредитiв в банках.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стан об’єкта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</w:r>
    </w:p>
    <w:p w:rsidR="00000000" w:rsidRDefault="00DB6E1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Звiт про стан будiвництва станом на 30 червня 2016 року.</w:t>
      </w:r>
      <w:r>
        <w:rPr>
          <w:rFonts w:eastAsia="Times New Roman"/>
          <w:color w:val="000000"/>
        </w:rPr>
        <w:br/>
        <w:t>Серiя K: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Будiвельна адреса будинкiв - нежилi примiщення 3 черга.</w:t>
      </w:r>
      <w:r>
        <w:rPr>
          <w:rFonts w:eastAsia="Times New Roman"/>
          <w:color w:val="000000"/>
        </w:rPr>
        <w:br/>
        <w:t>К-ть поверхiв -1.</w:t>
      </w:r>
      <w:r>
        <w:rPr>
          <w:rFonts w:eastAsia="Times New Roman"/>
          <w:color w:val="000000"/>
        </w:rPr>
        <w:br/>
        <w:t>К-ть квартир/примiщень - 34.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Частково введенi в експлуатацiю.</w:t>
      </w:r>
      <w:r>
        <w:rPr>
          <w:rFonts w:eastAsia="Times New Roman"/>
          <w:color w:val="000000"/>
        </w:rPr>
        <w:br/>
        <w:t>Загальна площа кварир/примiщень, м. кв. - 5541,6.</w:t>
      </w:r>
      <w:r>
        <w:rPr>
          <w:rFonts w:eastAsia="Times New Roman"/>
          <w:color w:val="000000"/>
        </w:rPr>
        <w:br/>
        <w:t>Серiя L: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Будiвельна адреса будинкiв - нежилi примiщення 4 черга.</w:t>
      </w:r>
      <w:r>
        <w:rPr>
          <w:rFonts w:eastAsia="Times New Roman"/>
          <w:color w:val="000000"/>
        </w:rPr>
        <w:br/>
        <w:t>К-ть поверхiв - 1.</w:t>
      </w:r>
      <w:r>
        <w:rPr>
          <w:rFonts w:eastAsia="Times New Roman"/>
          <w:color w:val="000000"/>
        </w:rPr>
        <w:br/>
        <w:t>К-ть квартир/примiщень - 32.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Частково введенi в експлуатацiю.</w:t>
      </w:r>
      <w:r>
        <w:rPr>
          <w:rFonts w:eastAsia="Times New Roman"/>
          <w:color w:val="000000"/>
        </w:rPr>
        <w:br/>
        <w:t>Загальна площа кварир/примiщень, м. кв. - 5831,05.</w:t>
      </w:r>
      <w:r>
        <w:rPr>
          <w:rFonts w:eastAsia="Times New Roman"/>
          <w:color w:val="000000"/>
        </w:rPr>
        <w:br/>
        <w:t>Серiя A</w:t>
      </w:r>
      <w:r>
        <w:rPr>
          <w:rFonts w:eastAsia="Times New Roman"/>
          <w:color w:val="000000"/>
        </w:rPr>
        <w:t>D:</w:t>
      </w:r>
      <w:r>
        <w:rPr>
          <w:rFonts w:eastAsia="Times New Roman"/>
          <w:color w:val="000000"/>
        </w:rPr>
        <w:br/>
        <w:t>Будiвельна адреса будинкiв - вул. Ломоносова, 50/2.</w:t>
      </w:r>
      <w:r>
        <w:rPr>
          <w:rFonts w:eastAsia="Times New Roman"/>
          <w:color w:val="000000"/>
        </w:rPr>
        <w:br/>
        <w:t>К-ть поверхiв - 12, 14, 16.</w:t>
      </w:r>
      <w:r>
        <w:rPr>
          <w:rFonts w:eastAsia="Times New Roman"/>
          <w:color w:val="000000"/>
        </w:rPr>
        <w:br/>
        <w:t>К-ть квартир/примiщень - 586.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Червень 2014 р. грудень 2014 р.</w:t>
      </w:r>
      <w:r>
        <w:rPr>
          <w:rFonts w:eastAsia="Times New Roman"/>
          <w:color w:val="000000"/>
        </w:rPr>
        <w:br/>
        <w:t>Загальна площа кварир/примiщень, м. кв. - 57326,9.</w:t>
      </w:r>
      <w:r>
        <w:rPr>
          <w:rFonts w:eastAsia="Times New Roman"/>
          <w:color w:val="000000"/>
        </w:rPr>
        <w:br/>
        <w:t>Серiя AЕ:</w:t>
      </w:r>
      <w:r>
        <w:rPr>
          <w:rFonts w:eastAsia="Times New Roman"/>
          <w:color w:val="000000"/>
        </w:rPr>
        <w:br/>
        <w:t>Будiвельна адреса будинкiв - вул. Ломоносова, 46/1.</w:t>
      </w:r>
      <w:r>
        <w:rPr>
          <w:rFonts w:eastAsia="Times New Roman"/>
          <w:color w:val="000000"/>
        </w:rPr>
        <w:br/>
        <w:t>К-ть поверхiв - 12, 14, 16.</w:t>
      </w:r>
      <w:r>
        <w:rPr>
          <w:rFonts w:eastAsia="Times New Roman"/>
          <w:color w:val="000000"/>
        </w:rPr>
        <w:br/>
        <w:t>К-ть квартир/примiщень - 679.</w:t>
      </w:r>
      <w:r>
        <w:rPr>
          <w:rFonts w:eastAsia="Times New Roman"/>
          <w:color w:val="000000"/>
        </w:rPr>
        <w:br/>
        <w:t>Виконанi роботи - 100%, 99,9%, 62%</w:t>
      </w:r>
      <w:r>
        <w:rPr>
          <w:rFonts w:eastAsia="Times New Roman"/>
          <w:color w:val="000000"/>
        </w:rPr>
        <w:br/>
        <w:t>Термiн введення в експлуатацiю, рр. - грудень 2015 р., червень 2016 р., вересень 2016 р.</w:t>
      </w:r>
      <w:r>
        <w:rPr>
          <w:rFonts w:eastAsia="Times New Roman"/>
          <w:color w:val="000000"/>
        </w:rPr>
        <w:br/>
        <w:t>Загальна пл</w:t>
      </w:r>
      <w:r>
        <w:rPr>
          <w:rFonts w:eastAsia="Times New Roman"/>
          <w:color w:val="000000"/>
        </w:rPr>
        <w:t>оща кварир/примiщень, м. кв. - 64080,69.</w:t>
      </w:r>
      <w:r>
        <w:rPr>
          <w:rFonts w:eastAsia="Times New Roman"/>
          <w:color w:val="000000"/>
        </w:rPr>
        <w:br/>
        <w:t>Серiя ВА:</w:t>
      </w:r>
      <w:r>
        <w:rPr>
          <w:rFonts w:eastAsia="Times New Roman"/>
          <w:color w:val="000000"/>
        </w:rPr>
        <w:br/>
        <w:t>Будiвельна адреса будинкiв - вул. Ломоносова, 19/14 (1 п.к.)</w:t>
      </w:r>
      <w:r>
        <w:rPr>
          <w:rFonts w:eastAsia="Times New Roman"/>
          <w:color w:val="000000"/>
        </w:rPr>
        <w:br/>
        <w:t>К-ть поверхiв - 19-23.</w:t>
      </w:r>
      <w:r>
        <w:rPr>
          <w:rFonts w:eastAsia="Times New Roman"/>
          <w:color w:val="000000"/>
        </w:rPr>
        <w:br/>
        <w:t>К-ть квартир/примiщень - 356.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листопад 2014 р.</w:t>
      </w:r>
      <w:r>
        <w:rPr>
          <w:rFonts w:eastAsia="Times New Roman"/>
          <w:color w:val="000000"/>
        </w:rPr>
        <w:br/>
        <w:t>Загальна площ</w:t>
      </w:r>
      <w:r>
        <w:rPr>
          <w:rFonts w:eastAsia="Times New Roman"/>
          <w:color w:val="000000"/>
        </w:rPr>
        <w:t>а кварир/примiщень, м. кв. - 25071,70.</w:t>
      </w:r>
      <w:r>
        <w:rPr>
          <w:rFonts w:eastAsia="Times New Roman"/>
          <w:color w:val="000000"/>
        </w:rPr>
        <w:br/>
        <w:t>Серiя ВВ:</w:t>
      </w:r>
      <w:r>
        <w:rPr>
          <w:rFonts w:eastAsia="Times New Roman"/>
          <w:color w:val="000000"/>
        </w:rPr>
        <w:br/>
        <w:t>Будiвельна адреса будинкiв - вул. Ломоносова, 19/14 (2 п.к.)</w:t>
      </w:r>
      <w:r>
        <w:rPr>
          <w:rFonts w:eastAsia="Times New Roman"/>
          <w:color w:val="000000"/>
        </w:rPr>
        <w:br/>
        <w:t>К-ть поверхiв - 17-21.</w:t>
      </w:r>
      <w:r>
        <w:rPr>
          <w:rFonts w:eastAsia="Times New Roman"/>
          <w:color w:val="000000"/>
        </w:rPr>
        <w:br/>
        <w:t>К-ть квартир/примiщень - 332.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травень 2015 р.</w:t>
      </w:r>
      <w:r>
        <w:rPr>
          <w:rFonts w:eastAsia="Times New Roman"/>
          <w:color w:val="000000"/>
        </w:rPr>
        <w:br/>
        <w:t>Загальна площа к</w:t>
      </w:r>
      <w:r>
        <w:rPr>
          <w:rFonts w:eastAsia="Times New Roman"/>
          <w:color w:val="000000"/>
        </w:rPr>
        <w:t>варир/примiщень, м. кв. - 23836,9.</w:t>
      </w:r>
      <w:r>
        <w:rPr>
          <w:rFonts w:eastAsia="Times New Roman"/>
          <w:color w:val="000000"/>
        </w:rPr>
        <w:br/>
        <w:t>Серiї ВD, BG:</w:t>
      </w:r>
      <w:r>
        <w:rPr>
          <w:rFonts w:eastAsia="Times New Roman"/>
          <w:color w:val="000000"/>
        </w:rPr>
        <w:br/>
        <w:t>Будiвельна адреса будинкiв - вул. М. Конєва, 10/1 (1 п.к.)</w:t>
      </w:r>
      <w:r>
        <w:rPr>
          <w:rFonts w:eastAsia="Times New Roman"/>
          <w:color w:val="000000"/>
        </w:rPr>
        <w:br/>
        <w:t>К-ть поверхiв - 17-21.</w:t>
      </w:r>
      <w:r>
        <w:rPr>
          <w:rFonts w:eastAsia="Times New Roman"/>
          <w:color w:val="000000"/>
        </w:rPr>
        <w:br/>
        <w:t>К-ть квартир/примiщень - 331.</w:t>
      </w:r>
      <w:r>
        <w:rPr>
          <w:rFonts w:eastAsia="Times New Roman"/>
          <w:color w:val="000000"/>
        </w:rPr>
        <w:br/>
        <w:t>Виконанi роботи - 73%</w:t>
      </w:r>
      <w:r>
        <w:rPr>
          <w:rFonts w:eastAsia="Times New Roman"/>
          <w:color w:val="000000"/>
        </w:rPr>
        <w:br/>
        <w:t>Термiн введення в експлуатацiю, рр. - листопад 2016 р.</w:t>
      </w:r>
      <w:r>
        <w:rPr>
          <w:rFonts w:eastAsia="Times New Roman"/>
          <w:color w:val="000000"/>
        </w:rPr>
        <w:br/>
        <w:t>Загальна площа ква</w:t>
      </w:r>
      <w:r>
        <w:rPr>
          <w:rFonts w:eastAsia="Times New Roman"/>
          <w:color w:val="000000"/>
        </w:rPr>
        <w:t>рир/примiщень, м. кв. - 23 386,65.</w:t>
      </w:r>
      <w:r>
        <w:rPr>
          <w:rFonts w:eastAsia="Times New Roman"/>
          <w:color w:val="000000"/>
        </w:rPr>
        <w:br/>
        <w:t>Серiї ВE, BH:</w:t>
      </w:r>
      <w:r>
        <w:rPr>
          <w:rFonts w:eastAsia="Times New Roman"/>
          <w:color w:val="000000"/>
        </w:rPr>
        <w:br/>
        <w:t>Будiвельна адреса будинкiв - вул. М. Конєва, 10/1 (2 п.к.)</w:t>
      </w:r>
      <w:r>
        <w:rPr>
          <w:rFonts w:eastAsia="Times New Roman"/>
          <w:color w:val="000000"/>
        </w:rPr>
        <w:br/>
        <w:t>К-ть поверхiв - 19-23.</w:t>
      </w:r>
      <w:r>
        <w:rPr>
          <w:rFonts w:eastAsia="Times New Roman"/>
          <w:color w:val="000000"/>
        </w:rPr>
        <w:br/>
        <w:t>К-ть квартир/примiщень - 355.</w:t>
      </w:r>
      <w:r>
        <w:rPr>
          <w:rFonts w:eastAsia="Times New Roman"/>
          <w:color w:val="000000"/>
        </w:rPr>
        <w:br/>
        <w:t>Виконанi роботи - 32%</w:t>
      </w:r>
      <w:r>
        <w:rPr>
          <w:rFonts w:eastAsia="Times New Roman"/>
          <w:color w:val="000000"/>
        </w:rPr>
        <w:br/>
        <w:t>Термiн введення в експлуатацiю, рр. - жовтень 2017 р.</w:t>
      </w:r>
      <w:r>
        <w:rPr>
          <w:rFonts w:eastAsia="Times New Roman"/>
          <w:color w:val="000000"/>
        </w:rPr>
        <w:br/>
        <w:t>Загальна площа квар</w:t>
      </w:r>
      <w:r>
        <w:rPr>
          <w:rFonts w:eastAsia="Times New Roman"/>
          <w:color w:val="000000"/>
        </w:rPr>
        <w:t>ир/примiщень, м. кв. - 24 362,10.</w:t>
      </w:r>
      <w:r>
        <w:rPr>
          <w:rFonts w:eastAsia="Times New Roman"/>
          <w:color w:val="000000"/>
        </w:rPr>
        <w:br/>
        <w:t>Серiя ВС:</w:t>
      </w:r>
      <w:r>
        <w:rPr>
          <w:rFonts w:eastAsia="Times New Roman"/>
          <w:color w:val="000000"/>
        </w:rPr>
        <w:br/>
        <w:t>Будiвельна адреса будинкiв - вул. Ак. Вiльямса, 19/14 (нежилi примiщення)</w:t>
      </w:r>
      <w:r>
        <w:rPr>
          <w:rFonts w:eastAsia="Times New Roman"/>
          <w:color w:val="000000"/>
        </w:rPr>
        <w:br/>
        <w:t>К-ть поверхiв - 1.</w:t>
      </w:r>
      <w:r>
        <w:rPr>
          <w:rFonts w:eastAsia="Times New Roman"/>
          <w:color w:val="000000"/>
        </w:rPr>
        <w:br/>
        <w:t>К-ть квартир/примiщень -28.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листопад 2014 р., травень 2015</w:t>
      </w:r>
      <w:r>
        <w:rPr>
          <w:rFonts w:eastAsia="Times New Roman"/>
          <w:color w:val="000000"/>
        </w:rPr>
        <w:t xml:space="preserve"> р.</w:t>
      </w:r>
      <w:r>
        <w:rPr>
          <w:rFonts w:eastAsia="Times New Roman"/>
          <w:color w:val="000000"/>
        </w:rPr>
        <w:br/>
        <w:t>Загальна площа кварир/примiщень, м. кв. - 3600,9.</w:t>
      </w:r>
      <w:r>
        <w:rPr>
          <w:rFonts w:eastAsia="Times New Roman"/>
          <w:color w:val="000000"/>
        </w:rPr>
        <w:br/>
        <w:t>Серiя ВF:</w:t>
      </w:r>
      <w:r>
        <w:rPr>
          <w:rFonts w:eastAsia="Times New Roman"/>
          <w:color w:val="000000"/>
        </w:rPr>
        <w:br/>
        <w:t>Будiвельна адреса будинкiв - вул. М. Конєва, 10/1 (нежилi примiщення)</w:t>
      </w:r>
      <w:r>
        <w:rPr>
          <w:rFonts w:eastAsia="Times New Roman"/>
          <w:color w:val="000000"/>
        </w:rPr>
        <w:br/>
        <w:t>К-ть поверхiв - 1.</w:t>
      </w:r>
      <w:r>
        <w:rPr>
          <w:rFonts w:eastAsia="Times New Roman"/>
          <w:color w:val="000000"/>
        </w:rPr>
        <w:br/>
        <w:t>К-ть квартир/примiщень - 35.</w:t>
      </w:r>
      <w:r>
        <w:rPr>
          <w:rFonts w:eastAsia="Times New Roman"/>
          <w:color w:val="000000"/>
        </w:rPr>
        <w:br/>
        <w:t>Виконанi роботи - 73%, 32%</w:t>
      </w:r>
      <w:r>
        <w:rPr>
          <w:rFonts w:eastAsia="Times New Roman"/>
          <w:color w:val="000000"/>
        </w:rPr>
        <w:br/>
        <w:t xml:space="preserve">Термiн введення в експлуатацiю, рр. - листопад </w:t>
      </w:r>
      <w:r>
        <w:rPr>
          <w:rFonts w:eastAsia="Times New Roman"/>
          <w:color w:val="000000"/>
        </w:rPr>
        <w:t>2016 р., жовтень 2017 р.</w:t>
      </w:r>
      <w:r>
        <w:rPr>
          <w:rFonts w:eastAsia="Times New Roman"/>
          <w:color w:val="000000"/>
        </w:rPr>
        <w:br/>
        <w:t>Загальна площа кварир/примiщень, м. кв. - 3 149,85.</w:t>
      </w:r>
      <w:r>
        <w:rPr>
          <w:rFonts w:eastAsia="Times New Roman"/>
          <w:color w:val="000000"/>
        </w:rPr>
        <w:br/>
        <w:t>Серiя ВI:</w:t>
      </w:r>
      <w:r>
        <w:rPr>
          <w:rFonts w:eastAsia="Times New Roman"/>
          <w:color w:val="000000"/>
        </w:rPr>
        <w:br/>
        <w:t>Будiвельна адреса будинкiв - вул. М. Конєва, 12</w:t>
      </w:r>
      <w:r>
        <w:rPr>
          <w:rFonts w:eastAsia="Times New Roman"/>
          <w:color w:val="000000"/>
        </w:rPr>
        <w:br/>
        <w:t>К-ть поверхiв - 22.</w:t>
      </w:r>
      <w:r>
        <w:rPr>
          <w:rFonts w:eastAsia="Times New Roman"/>
          <w:color w:val="000000"/>
        </w:rPr>
        <w:br/>
        <w:t>К-ть квартир/примiщень - 118.</w:t>
      </w:r>
      <w:r>
        <w:rPr>
          <w:rFonts w:eastAsia="Times New Roman"/>
          <w:color w:val="000000"/>
        </w:rPr>
        <w:br/>
        <w:t>Виконанi роботи - 84%</w:t>
      </w:r>
      <w:r>
        <w:rPr>
          <w:rFonts w:eastAsia="Times New Roman"/>
          <w:color w:val="000000"/>
        </w:rPr>
        <w:br/>
        <w:t>Термiн введення в експлуатацiю, рр. - листопад 20</w:t>
      </w:r>
      <w:r>
        <w:rPr>
          <w:rFonts w:eastAsia="Times New Roman"/>
          <w:color w:val="000000"/>
        </w:rPr>
        <w:t>16 р.</w:t>
      </w:r>
      <w:r>
        <w:rPr>
          <w:rFonts w:eastAsia="Times New Roman"/>
          <w:color w:val="000000"/>
        </w:rPr>
        <w:br/>
        <w:t>Загальна площа кварир/примiщень, м. кв. - 8 542,70.</w:t>
      </w:r>
      <w:r>
        <w:rPr>
          <w:rFonts w:eastAsia="Times New Roman"/>
          <w:color w:val="000000"/>
        </w:rPr>
        <w:br/>
        <w:t>Серiя ВJ:</w:t>
      </w:r>
      <w:r>
        <w:rPr>
          <w:rFonts w:eastAsia="Times New Roman"/>
          <w:color w:val="000000"/>
        </w:rPr>
        <w:br/>
        <w:t>Будiвельна адреса будинкiв - вул. М. Конєва, 12-А</w:t>
      </w:r>
      <w:r>
        <w:rPr>
          <w:rFonts w:eastAsia="Times New Roman"/>
          <w:color w:val="000000"/>
        </w:rPr>
        <w:br/>
        <w:t>К-ть поверхiв - 22.</w:t>
      </w:r>
      <w:r>
        <w:rPr>
          <w:rFonts w:eastAsia="Times New Roman"/>
          <w:color w:val="000000"/>
        </w:rPr>
        <w:br/>
        <w:t>К-ть квартир/примiщень - 118.</w:t>
      </w:r>
      <w:r>
        <w:rPr>
          <w:rFonts w:eastAsia="Times New Roman"/>
          <w:color w:val="000000"/>
        </w:rPr>
        <w:br/>
        <w:t>Виконанi роботи - 99%</w:t>
      </w:r>
      <w:r>
        <w:rPr>
          <w:rFonts w:eastAsia="Times New Roman"/>
          <w:color w:val="000000"/>
        </w:rPr>
        <w:br/>
        <w:t>Термiн введення в експлуатацiю, рр. - червень 2016 р.</w:t>
      </w:r>
      <w:r>
        <w:rPr>
          <w:rFonts w:eastAsia="Times New Roman"/>
          <w:color w:val="000000"/>
        </w:rPr>
        <w:br/>
        <w:t>Загальна пло</w:t>
      </w:r>
      <w:r>
        <w:rPr>
          <w:rFonts w:eastAsia="Times New Roman"/>
          <w:color w:val="000000"/>
        </w:rPr>
        <w:t xml:space="preserve">ща кварир/примiщень, м. кв. - 8 542,70. </w:t>
      </w:r>
    </w:p>
    <w:p w:rsidR="00000000" w:rsidRDefault="00DB6E1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000000" w:rsidRDefault="00DB6E1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8036100000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Маршала Конєва, буд. 8, каб. 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30.06.2016 р.</w:t>
      </w:r>
    </w:p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439887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634926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617488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1099325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904431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937456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157581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1099325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Iнформацiя на дату переходу на мiжнароднi стандарти фiнансової звiтности вiдсутня, так як Товариство не переходило на мiжнароднi стандарти, оскiльки як ТОВ звiтує за нацiональними.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84693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( 206390 )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( 75923 )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8770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( 13720 )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( 9317 )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( 1645 )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( 840 )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( 1400 )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( 7922 )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( 1193 )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( 3614 )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62754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( 62758 )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( 3076 )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( 3076 )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3076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88811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94002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DB6E1A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рух грошових коштiв не надається, оскiльки згiдно iз чинним законодавством вiн щоквартально не формується.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DB6E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6E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DB6E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6E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рух грошових коштiв не надається, оскiльки згiдно iз чинним законодавством вiн щоквартально не формується.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p w:rsidR="00000000" w:rsidRDefault="00DB6E1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B6E1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власний капiтал не надається, оскiльки згiдно iз чинним законодавством вiн щоквартально не формується.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B6E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DB6E1A" w:rsidRDefault="00DB6E1A">
      <w:pPr>
        <w:rPr>
          <w:rFonts w:eastAsia="Times New Roman"/>
        </w:rPr>
      </w:pPr>
    </w:p>
    <w:sectPr w:rsidR="00DB6E1A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60F8"/>
    <w:rsid w:val="007960F8"/>
    <w:rsid w:val="00D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91339</Words>
  <Characters>52064</Characters>
  <Application>Microsoft Office Word</Application>
  <DocSecurity>0</DocSecurity>
  <Lines>433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2016-07-25T12:48:00Z</dcterms:created>
  <dcterms:modified xsi:type="dcterms:W3CDTF">2016-07-25T12:48:00Z</dcterms:modified>
</cp:coreProperties>
</file>